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C38BB" w14:textId="1F876EF6" w:rsidR="00E91B92" w:rsidRDefault="003958F4" w:rsidP="00E91B92">
      <w:pPr>
        <w:pStyle w:val="Heading1"/>
        <w:jc w:val="center"/>
      </w:pPr>
      <w:r>
        <w:t>Cover Letter for PHA Policies</w:t>
      </w:r>
      <w:r w:rsidR="00D56C1C">
        <w:t xml:space="preserve">: </w:t>
      </w:r>
      <w:r w:rsidR="00E91B92">
        <w:t>HOTMA</w:t>
      </w:r>
      <w:r w:rsidR="00D56C1C">
        <w:t xml:space="preserve"> and NSPIRE</w:t>
      </w:r>
      <w:r w:rsidR="00E91B92">
        <w:t xml:space="preserve"> Implementation </w:t>
      </w:r>
    </w:p>
    <w:p w14:paraId="717699EB" w14:textId="77777777" w:rsidR="003958F4" w:rsidRPr="000D4FF3" w:rsidRDefault="003958F4" w:rsidP="003958F4">
      <w:pPr>
        <w:rPr>
          <w:sz w:val="24"/>
          <w:szCs w:val="24"/>
        </w:rPr>
      </w:pPr>
    </w:p>
    <w:p w14:paraId="451ADBED" w14:textId="2E6840BC" w:rsidR="003958F4" w:rsidRDefault="003958F4" w:rsidP="003958F4">
      <w:pPr>
        <w:rPr>
          <w:sz w:val="24"/>
          <w:szCs w:val="24"/>
        </w:rPr>
      </w:pPr>
      <w:r w:rsidRPr="000D4FF3">
        <w:rPr>
          <w:sz w:val="24"/>
          <w:szCs w:val="24"/>
        </w:rPr>
        <w:t>The following explains the implementation timeline for PHA policies related to the Housing Opportunity through Modernization Act of 2016 (HOTMA)</w:t>
      </w:r>
      <w:r w:rsidR="00D56C1C">
        <w:rPr>
          <w:sz w:val="24"/>
          <w:szCs w:val="24"/>
        </w:rPr>
        <w:t xml:space="preserve"> and the National Standards for the Physical Inspection of Real Estate (NSPIRE)</w:t>
      </w:r>
      <w:r w:rsidRPr="000D4FF3">
        <w:rPr>
          <w:sz w:val="24"/>
          <w:szCs w:val="24"/>
        </w:rPr>
        <w:t xml:space="preserve">. </w:t>
      </w:r>
    </w:p>
    <w:p w14:paraId="1E8E4831" w14:textId="62167100" w:rsidR="00F05016" w:rsidRPr="00F05016" w:rsidRDefault="00F05016" w:rsidP="00F05016">
      <w:pPr>
        <w:pStyle w:val="Heading2"/>
        <w:rPr>
          <w:sz w:val="22"/>
          <w:szCs w:val="22"/>
        </w:rPr>
      </w:pPr>
      <w:r>
        <w:t xml:space="preserve">HOTMA SECTIONS 102 AND 104 CHANGES </w:t>
      </w:r>
    </w:p>
    <w:p w14:paraId="05D46511" w14:textId="77777777" w:rsidR="00C20F26" w:rsidRDefault="006655BF" w:rsidP="00A2131C">
      <w:pPr>
        <w:pStyle w:val="ListParagraph"/>
        <w:numPr>
          <w:ilvl w:val="0"/>
          <w:numId w:val="1"/>
        </w:numPr>
        <w:spacing w:after="240"/>
        <w:rPr>
          <w:rFonts w:cstheme="minorHAnsi"/>
          <w:sz w:val="24"/>
          <w:szCs w:val="24"/>
        </w:rPr>
      </w:pPr>
      <w:r w:rsidRPr="00A2131C">
        <w:rPr>
          <w:rFonts w:cstheme="minorHAnsi"/>
          <w:sz w:val="24"/>
          <w:szCs w:val="24"/>
        </w:rPr>
        <w:t xml:space="preserve">On July 29, 2016, the Housing Opportunity Through Modernization Act of 2016 (HOTMA) was signed into law. HOTMA made numerous changes to statutes governing HUD programs, including sections of the United States Housing Act of 1937. Title I of HOTMA contains 14 different sections that impact the public housing and Section 8 programs. </w:t>
      </w:r>
    </w:p>
    <w:p w14:paraId="793A68DB" w14:textId="59356325" w:rsidR="006655BF" w:rsidRPr="00A2131C" w:rsidRDefault="006655BF" w:rsidP="00A2131C">
      <w:pPr>
        <w:pStyle w:val="ListParagraph"/>
        <w:numPr>
          <w:ilvl w:val="0"/>
          <w:numId w:val="1"/>
        </w:numPr>
        <w:spacing w:after="240"/>
        <w:rPr>
          <w:rFonts w:cstheme="minorHAnsi"/>
          <w:sz w:val="24"/>
          <w:szCs w:val="24"/>
        </w:rPr>
      </w:pPr>
      <w:r w:rsidRPr="00A2131C">
        <w:rPr>
          <w:rFonts w:cstheme="minorHAnsi"/>
          <w:sz w:val="24"/>
          <w:szCs w:val="24"/>
        </w:rPr>
        <w:t>HUD published a final rule on February 14, 2023, revising regulations related to income and assets (Sections 102 and 104 of HOTMA)</w:t>
      </w:r>
      <w:r w:rsidR="00567035">
        <w:rPr>
          <w:rFonts w:cstheme="minorHAnsi"/>
          <w:sz w:val="24"/>
          <w:szCs w:val="24"/>
        </w:rPr>
        <w:t xml:space="preserve"> for HOTMA</w:t>
      </w:r>
      <w:r w:rsidRPr="00A2131C">
        <w:rPr>
          <w:rFonts w:cstheme="minorHAnsi"/>
          <w:sz w:val="24"/>
          <w:szCs w:val="24"/>
        </w:rPr>
        <w:t>. While the new income and asset regulations were effective January 1, 2024,</w:t>
      </w:r>
      <w:r w:rsidR="00A2131C">
        <w:rPr>
          <w:rFonts w:cstheme="minorHAnsi"/>
          <w:sz w:val="24"/>
          <w:szCs w:val="24"/>
        </w:rPr>
        <w:t xml:space="preserve"> HUD</w:t>
      </w:r>
      <w:r w:rsidR="00ED0CCD">
        <w:rPr>
          <w:rFonts w:cstheme="minorHAnsi"/>
          <w:sz w:val="24"/>
          <w:szCs w:val="24"/>
        </w:rPr>
        <w:t xml:space="preserve"> has</w:t>
      </w:r>
      <w:r w:rsidR="00A2131C">
        <w:rPr>
          <w:rFonts w:cstheme="minorHAnsi"/>
          <w:sz w:val="24"/>
          <w:szCs w:val="24"/>
        </w:rPr>
        <w:t xml:space="preserve"> instructed</w:t>
      </w:r>
      <w:r w:rsidRPr="00A2131C">
        <w:rPr>
          <w:rFonts w:cstheme="minorHAnsi"/>
          <w:sz w:val="24"/>
          <w:szCs w:val="24"/>
        </w:rPr>
        <w:t xml:space="preserve"> PHAs</w:t>
      </w:r>
      <w:r w:rsidR="00A2131C">
        <w:rPr>
          <w:rFonts w:cstheme="minorHAnsi"/>
          <w:sz w:val="24"/>
          <w:szCs w:val="24"/>
        </w:rPr>
        <w:t xml:space="preserve"> </w:t>
      </w:r>
      <w:r w:rsidRPr="00A2131C">
        <w:rPr>
          <w:rFonts w:cstheme="minorHAnsi"/>
          <w:sz w:val="24"/>
          <w:szCs w:val="24"/>
        </w:rPr>
        <w:t>to select a compliance date</w:t>
      </w:r>
      <w:r w:rsidR="00ED0CCD">
        <w:rPr>
          <w:rFonts w:cstheme="minorHAnsi"/>
          <w:sz w:val="24"/>
          <w:szCs w:val="24"/>
        </w:rPr>
        <w:t xml:space="preserve"> for these sections</w:t>
      </w:r>
      <w:r w:rsidRPr="00A2131C">
        <w:rPr>
          <w:rFonts w:cstheme="minorHAnsi"/>
          <w:sz w:val="24"/>
          <w:szCs w:val="24"/>
        </w:rPr>
        <w:t xml:space="preserve"> no later than January 1, 2025. </w:t>
      </w:r>
    </w:p>
    <w:p w14:paraId="7BC993BD" w14:textId="44DE90A2" w:rsidR="00FD1A98" w:rsidRDefault="00323EF8" w:rsidP="00A2131C">
      <w:pPr>
        <w:pStyle w:val="ListParagraph"/>
        <w:numPr>
          <w:ilvl w:val="0"/>
          <w:numId w:val="1"/>
        </w:numPr>
        <w:spacing w:after="240"/>
        <w:rPr>
          <w:rFonts w:cstheme="minorHAnsi"/>
          <w:sz w:val="24"/>
          <w:szCs w:val="24"/>
        </w:rPr>
      </w:pPr>
      <w:r w:rsidRPr="00A2131C">
        <w:rPr>
          <w:rFonts w:cstheme="minorHAnsi"/>
          <w:sz w:val="24"/>
          <w:szCs w:val="24"/>
        </w:rPr>
        <w:t xml:space="preserve">However, PHAs are </w:t>
      </w:r>
      <w:r w:rsidR="00ED0CCD">
        <w:rPr>
          <w:rFonts w:cstheme="minorHAnsi"/>
          <w:sz w:val="24"/>
          <w:szCs w:val="24"/>
        </w:rPr>
        <w:t xml:space="preserve">currently </w:t>
      </w:r>
      <w:r w:rsidRPr="00A2131C">
        <w:rPr>
          <w:rFonts w:cstheme="minorHAnsi"/>
          <w:sz w:val="24"/>
          <w:szCs w:val="24"/>
        </w:rPr>
        <w:t>unable to select a compliance date</w:t>
      </w:r>
      <w:r w:rsidR="00D56AE1">
        <w:rPr>
          <w:rFonts w:cstheme="minorHAnsi"/>
          <w:sz w:val="24"/>
          <w:szCs w:val="24"/>
        </w:rPr>
        <w:t xml:space="preserve"> for Section 102 and 104 of HOTMA. HOTMA compliance depends on transitioning HUD’s IMS/PIC system (which is unable to accept HOTMA-compliant certifications) to </w:t>
      </w:r>
      <w:r w:rsidRPr="00A2131C">
        <w:rPr>
          <w:rFonts w:cstheme="minorHAnsi"/>
          <w:sz w:val="24"/>
          <w:szCs w:val="24"/>
        </w:rPr>
        <w:t xml:space="preserve">HUD’s </w:t>
      </w:r>
      <w:r w:rsidR="00D56AE1">
        <w:rPr>
          <w:rFonts w:cstheme="minorHAnsi"/>
          <w:sz w:val="24"/>
          <w:szCs w:val="24"/>
        </w:rPr>
        <w:t xml:space="preserve">new </w:t>
      </w:r>
      <w:r w:rsidRPr="00A2131C">
        <w:rPr>
          <w:rFonts w:cstheme="minorHAnsi"/>
          <w:sz w:val="24"/>
          <w:szCs w:val="24"/>
        </w:rPr>
        <w:t>Housing Information Portal (HIP)</w:t>
      </w:r>
      <w:r w:rsidR="00D56AE1">
        <w:rPr>
          <w:rFonts w:cstheme="minorHAnsi"/>
          <w:sz w:val="24"/>
          <w:szCs w:val="24"/>
        </w:rPr>
        <w:t xml:space="preserve"> system. PHAs cannot transition to HOTMA until HIP is </w:t>
      </w:r>
      <w:r w:rsidRPr="00A2131C">
        <w:rPr>
          <w:rFonts w:cstheme="minorHAnsi"/>
          <w:sz w:val="24"/>
          <w:szCs w:val="24"/>
        </w:rPr>
        <w:t xml:space="preserve">in place, HOTMA-compliant, and accessible. </w:t>
      </w:r>
      <w:r w:rsidR="00CD13D0">
        <w:rPr>
          <w:rFonts w:cstheme="minorHAnsi"/>
          <w:sz w:val="24"/>
          <w:szCs w:val="24"/>
        </w:rPr>
        <w:t>In a June 17, 2024</w:t>
      </w:r>
      <w:r w:rsidR="00ED0CCD">
        <w:rPr>
          <w:rFonts w:cstheme="minorHAnsi"/>
          <w:sz w:val="24"/>
          <w:szCs w:val="24"/>
        </w:rPr>
        <w:t>,</w:t>
      </w:r>
      <w:r w:rsidR="00CD13D0">
        <w:rPr>
          <w:rFonts w:cstheme="minorHAnsi"/>
          <w:sz w:val="24"/>
          <w:szCs w:val="24"/>
        </w:rPr>
        <w:t xml:space="preserve"> letter to executive </w:t>
      </w:r>
      <w:r w:rsidR="00ED0CCD">
        <w:rPr>
          <w:rFonts w:cstheme="minorHAnsi"/>
          <w:sz w:val="24"/>
          <w:szCs w:val="24"/>
        </w:rPr>
        <w:t>director</w:t>
      </w:r>
      <w:r w:rsidR="00D56AE1">
        <w:rPr>
          <w:rFonts w:cstheme="minorHAnsi"/>
          <w:sz w:val="24"/>
          <w:szCs w:val="24"/>
        </w:rPr>
        <w:t>s</w:t>
      </w:r>
      <w:r w:rsidR="00CD13D0">
        <w:rPr>
          <w:rFonts w:cstheme="minorHAnsi"/>
          <w:sz w:val="24"/>
          <w:szCs w:val="24"/>
        </w:rPr>
        <w:t>, HUD delaye</w:t>
      </w:r>
      <w:r w:rsidR="00ED0CCD">
        <w:rPr>
          <w:rFonts w:cstheme="minorHAnsi"/>
          <w:sz w:val="24"/>
          <w:szCs w:val="24"/>
        </w:rPr>
        <w:t>d</w:t>
      </w:r>
      <w:r w:rsidR="00CD13D0">
        <w:rPr>
          <w:rFonts w:cstheme="minorHAnsi"/>
          <w:sz w:val="24"/>
          <w:szCs w:val="24"/>
        </w:rPr>
        <w:t xml:space="preserve"> the transition from IMS</w:t>
      </w:r>
      <w:r w:rsidR="00ED0CCD">
        <w:rPr>
          <w:rFonts w:cstheme="minorHAnsi"/>
          <w:sz w:val="24"/>
          <w:szCs w:val="24"/>
        </w:rPr>
        <w:t>/</w:t>
      </w:r>
      <w:r w:rsidR="00CD13D0">
        <w:rPr>
          <w:rFonts w:cstheme="minorHAnsi"/>
          <w:sz w:val="24"/>
          <w:szCs w:val="24"/>
        </w:rPr>
        <w:t>PIC to HIP</w:t>
      </w:r>
      <w:r w:rsidR="006B272B">
        <w:rPr>
          <w:rFonts w:cstheme="minorHAnsi"/>
          <w:sz w:val="24"/>
          <w:szCs w:val="24"/>
        </w:rPr>
        <w:t xml:space="preserve"> and </w:t>
      </w:r>
      <w:r w:rsidR="00ED0CCD">
        <w:rPr>
          <w:rFonts w:cstheme="minorHAnsi"/>
          <w:sz w:val="24"/>
          <w:szCs w:val="24"/>
        </w:rPr>
        <w:t>has not yet provided</w:t>
      </w:r>
      <w:r w:rsidR="006B272B">
        <w:rPr>
          <w:rFonts w:cstheme="minorHAnsi"/>
          <w:sz w:val="24"/>
          <w:szCs w:val="24"/>
        </w:rPr>
        <w:t xml:space="preserve"> a timeline for HIP</w:t>
      </w:r>
      <w:r w:rsidR="00ED0CCD">
        <w:rPr>
          <w:rFonts w:cstheme="minorHAnsi"/>
          <w:sz w:val="24"/>
          <w:szCs w:val="24"/>
        </w:rPr>
        <w:t xml:space="preserve"> implementation.</w:t>
      </w:r>
      <w:r w:rsidR="006B272B">
        <w:rPr>
          <w:rFonts w:cstheme="minorHAnsi"/>
          <w:sz w:val="24"/>
          <w:szCs w:val="24"/>
        </w:rPr>
        <w:t xml:space="preserve"> </w:t>
      </w:r>
    </w:p>
    <w:p w14:paraId="2C185B72" w14:textId="784E2E95" w:rsidR="003924B7" w:rsidRPr="003924B7" w:rsidRDefault="003924B7" w:rsidP="003924B7">
      <w:pPr>
        <w:pStyle w:val="ListParagraph"/>
        <w:numPr>
          <w:ilvl w:val="1"/>
          <w:numId w:val="1"/>
        </w:numPr>
        <w:spacing w:after="240"/>
        <w:rPr>
          <w:rFonts w:cstheme="minorHAnsi"/>
          <w:sz w:val="24"/>
          <w:szCs w:val="24"/>
        </w:rPr>
      </w:pPr>
      <w:r>
        <w:rPr>
          <w:rFonts w:cstheme="minorHAnsi"/>
          <w:sz w:val="24"/>
          <w:szCs w:val="24"/>
        </w:rPr>
        <w:t>Note that in</w:t>
      </w:r>
      <w:r w:rsidRPr="000D4FF3">
        <w:rPr>
          <w:rFonts w:cstheme="minorHAnsi"/>
          <w:sz w:val="24"/>
          <w:szCs w:val="24"/>
        </w:rPr>
        <w:t xml:space="preserve"> </w:t>
      </w:r>
      <w:r w:rsidRPr="000D4FF3">
        <w:rPr>
          <w:sz w:val="24"/>
          <w:szCs w:val="24"/>
        </w:rPr>
        <w:t xml:space="preserve">FAQs </w:t>
      </w:r>
      <w:r w:rsidRPr="000D4FF3">
        <w:rPr>
          <w:rFonts w:cstheme="minorHAnsi"/>
          <w:sz w:val="24"/>
          <w:szCs w:val="24"/>
        </w:rPr>
        <w:t xml:space="preserve">dated 2/22/24, HUD determined that certain HOTMA changes are not dependent on transitioning to the HIP system, and PHAs may implement them immediately. </w:t>
      </w:r>
      <w:r w:rsidRPr="000D4FF3">
        <w:rPr>
          <w:rFonts w:cstheme="minorHAnsi"/>
          <w:sz w:val="24"/>
          <w:szCs w:val="24"/>
          <w:u w:val="single"/>
        </w:rPr>
        <w:t>This is optional.</w:t>
      </w:r>
      <w:r w:rsidRPr="000D4FF3">
        <w:rPr>
          <w:rFonts w:cstheme="minorHAnsi"/>
          <w:sz w:val="24"/>
          <w:szCs w:val="24"/>
        </w:rPr>
        <w:t xml:space="preserve"> </w:t>
      </w:r>
    </w:p>
    <w:p w14:paraId="37016E9A" w14:textId="2B93D320" w:rsidR="00B64EEC" w:rsidRPr="003924B7" w:rsidRDefault="00A034DC" w:rsidP="003924B7">
      <w:pPr>
        <w:pStyle w:val="ListParagraph"/>
        <w:numPr>
          <w:ilvl w:val="0"/>
          <w:numId w:val="1"/>
        </w:numPr>
        <w:spacing w:after="240"/>
        <w:rPr>
          <w:rFonts w:cstheme="minorHAnsi"/>
          <w:sz w:val="24"/>
          <w:szCs w:val="24"/>
        </w:rPr>
      </w:pPr>
      <w:r w:rsidRPr="00A2131C">
        <w:rPr>
          <w:rFonts w:cstheme="minorHAnsi"/>
          <w:sz w:val="24"/>
          <w:szCs w:val="24"/>
        </w:rPr>
        <w:t>A</w:t>
      </w:r>
      <w:r w:rsidR="008D47A4" w:rsidRPr="00A2131C">
        <w:rPr>
          <w:rFonts w:cstheme="minorHAnsi"/>
          <w:sz w:val="24"/>
          <w:szCs w:val="24"/>
        </w:rPr>
        <w:t xml:space="preserve">lthough HOTMA will not be implemented by the PHA until </w:t>
      </w:r>
      <w:r w:rsidRPr="00A2131C">
        <w:rPr>
          <w:rFonts w:cstheme="minorHAnsi"/>
          <w:sz w:val="24"/>
          <w:szCs w:val="24"/>
        </w:rPr>
        <w:t xml:space="preserve">an unknown </w:t>
      </w:r>
      <w:r w:rsidR="008D47A4" w:rsidRPr="00A2131C">
        <w:rPr>
          <w:rFonts w:cstheme="minorHAnsi"/>
          <w:sz w:val="24"/>
          <w:szCs w:val="24"/>
        </w:rPr>
        <w:t xml:space="preserve">date in </w:t>
      </w:r>
      <w:r w:rsidR="00ED0CCD">
        <w:rPr>
          <w:rFonts w:cstheme="minorHAnsi"/>
          <w:sz w:val="24"/>
          <w:szCs w:val="24"/>
        </w:rPr>
        <w:t>the future</w:t>
      </w:r>
      <w:r w:rsidR="008D47A4" w:rsidRPr="00A2131C">
        <w:rPr>
          <w:rFonts w:cstheme="minorHAnsi"/>
          <w:sz w:val="24"/>
          <w:szCs w:val="24"/>
        </w:rPr>
        <w:t xml:space="preserve">, </w:t>
      </w:r>
      <w:r w:rsidR="00AF2B01" w:rsidRPr="00A2131C">
        <w:rPr>
          <w:rFonts w:cstheme="minorHAnsi"/>
          <w:sz w:val="24"/>
          <w:szCs w:val="24"/>
        </w:rPr>
        <w:t xml:space="preserve">the PHA is required to update both the ACOP and administrative plan by </w:t>
      </w:r>
      <w:r w:rsidR="00282334" w:rsidRPr="00A2131C">
        <w:rPr>
          <w:rFonts w:cstheme="minorHAnsi"/>
          <w:sz w:val="24"/>
          <w:szCs w:val="24"/>
        </w:rPr>
        <w:t>a specific date</w:t>
      </w:r>
      <w:r w:rsidR="00AF2B01" w:rsidRPr="00A2131C">
        <w:rPr>
          <w:rFonts w:cstheme="minorHAnsi"/>
          <w:sz w:val="24"/>
          <w:szCs w:val="24"/>
        </w:rPr>
        <w:t xml:space="preserve">. </w:t>
      </w:r>
      <w:r w:rsidR="00B64EEC" w:rsidRPr="003924B7">
        <w:rPr>
          <w:rFonts w:ascii="Calibri" w:hAnsi="Calibri" w:cs="Calibri"/>
          <w:kern w:val="0"/>
          <w:sz w:val="24"/>
          <w:szCs w:val="24"/>
        </w:rPr>
        <w:t xml:space="preserve">PHAs are required to update PHA plans and policies based on the PHA’s fiscal year start date. PHAs must have their plan updated the </w:t>
      </w:r>
      <w:r w:rsidR="00B64EEC" w:rsidRPr="003924B7">
        <w:rPr>
          <w:rFonts w:ascii="Calibri" w:hAnsi="Calibri" w:cs="Calibri"/>
          <w:b/>
          <w:bCs/>
          <w:kern w:val="0"/>
          <w:sz w:val="24"/>
          <w:szCs w:val="24"/>
        </w:rPr>
        <w:t>earliest</w:t>
      </w:r>
      <w:r w:rsidR="00B64EEC" w:rsidRPr="003924B7">
        <w:rPr>
          <w:rFonts w:ascii="Calibri" w:hAnsi="Calibri" w:cs="Calibri"/>
          <w:kern w:val="0"/>
          <w:sz w:val="24"/>
          <w:szCs w:val="24"/>
        </w:rPr>
        <w:t xml:space="preserve"> of:</w:t>
      </w:r>
    </w:p>
    <w:p w14:paraId="4CFCC85C" w14:textId="77777777" w:rsidR="00B64EEC" w:rsidRPr="000D4FF3" w:rsidRDefault="00B64EEC" w:rsidP="00B64EEC">
      <w:pPr>
        <w:pStyle w:val="ListParagraph"/>
        <w:numPr>
          <w:ilvl w:val="1"/>
          <w:numId w:val="1"/>
        </w:numPr>
        <w:rPr>
          <w:sz w:val="24"/>
          <w:szCs w:val="24"/>
        </w:rPr>
      </w:pPr>
      <w:r w:rsidRPr="000D4FF3">
        <w:rPr>
          <w:rFonts w:cstheme="minorHAnsi"/>
          <w:kern w:val="0"/>
          <w:sz w:val="24"/>
          <w:szCs w:val="24"/>
          <w14:ligatures w14:val="none"/>
        </w:rPr>
        <w:t>75 days prior to the start of their fiscal year (beginning with 7/1/24 PHAs</w:t>
      </w:r>
      <w:proofErr w:type="gramStart"/>
      <w:r w:rsidRPr="000D4FF3">
        <w:rPr>
          <w:rFonts w:cstheme="minorHAnsi"/>
          <w:kern w:val="0"/>
          <w:sz w:val="24"/>
          <w:szCs w:val="24"/>
          <w14:ligatures w14:val="none"/>
        </w:rPr>
        <w:t>);</w:t>
      </w:r>
      <w:proofErr w:type="gramEnd"/>
    </w:p>
    <w:p w14:paraId="189F5707" w14:textId="77777777" w:rsidR="00B64EEC" w:rsidRPr="000D4FF3" w:rsidRDefault="00B64EEC" w:rsidP="00B64EEC">
      <w:pPr>
        <w:pStyle w:val="ListParagraph"/>
        <w:numPr>
          <w:ilvl w:val="1"/>
          <w:numId w:val="1"/>
        </w:numPr>
        <w:rPr>
          <w:sz w:val="24"/>
          <w:szCs w:val="24"/>
        </w:rPr>
      </w:pPr>
      <w:r w:rsidRPr="000D4FF3">
        <w:rPr>
          <w:rFonts w:cstheme="minorHAnsi"/>
          <w:kern w:val="0"/>
          <w:sz w:val="24"/>
          <w:szCs w:val="24"/>
          <w14:ligatures w14:val="none"/>
        </w:rPr>
        <w:t>75 days prior to their compliance date (if the PHA selects a compliance date prior to the start of their fiscal year); or</w:t>
      </w:r>
    </w:p>
    <w:p w14:paraId="33DA66B5" w14:textId="77777777" w:rsidR="00B64EEC" w:rsidRPr="000D4FF3" w:rsidRDefault="00B64EEC" w:rsidP="00B64EEC">
      <w:pPr>
        <w:pStyle w:val="ListParagraph"/>
        <w:numPr>
          <w:ilvl w:val="1"/>
          <w:numId w:val="1"/>
        </w:numPr>
        <w:rPr>
          <w:sz w:val="24"/>
          <w:szCs w:val="24"/>
        </w:rPr>
      </w:pPr>
      <w:r w:rsidRPr="000D4FF3">
        <w:rPr>
          <w:rFonts w:cstheme="minorHAnsi"/>
          <w:kern w:val="0"/>
          <w:sz w:val="24"/>
          <w:szCs w:val="24"/>
          <w14:ligatures w14:val="none"/>
        </w:rPr>
        <w:t>October 18, 2024 (for PHAs with fiscal year start dates of 1/1/25 and 4/1/25).</w:t>
      </w:r>
    </w:p>
    <w:p w14:paraId="5C2B9854" w14:textId="0B679E88" w:rsidR="00E91B92" w:rsidRPr="00DF231C" w:rsidRDefault="003924B7" w:rsidP="003924B7">
      <w:pPr>
        <w:pStyle w:val="ListParagraph"/>
        <w:numPr>
          <w:ilvl w:val="0"/>
          <w:numId w:val="1"/>
        </w:numPr>
        <w:spacing w:after="240"/>
        <w:rPr>
          <w:rFonts w:cstheme="minorHAnsi"/>
          <w:sz w:val="24"/>
          <w:szCs w:val="24"/>
        </w:rPr>
      </w:pPr>
      <w:r w:rsidRPr="00A2131C">
        <w:rPr>
          <w:rFonts w:cstheme="minorHAnsi"/>
          <w:sz w:val="24"/>
          <w:szCs w:val="24"/>
        </w:rPr>
        <w:t xml:space="preserve">This means that the PHA’s policies will likely be completed and approved well ahead of when the PHA </w:t>
      </w:r>
      <w:proofErr w:type="gramStart"/>
      <w:r w:rsidRPr="00A2131C">
        <w:rPr>
          <w:rFonts w:cstheme="minorHAnsi"/>
          <w:sz w:val="24"/>
          <w:szCs w:val="24"/>
        </w:rPr>
        <w:t>actually implements</w:t>
      </w:r>
      <w:proofErr w:type="gramEnd"/>
      <w:r w:rsidRPr="00A2131C">
        <w:rPr>
          <w:rFonts w:cstheme="minorHAnsi"/>
          <w:sz w:val="24"/>
          <w:szCs w:val="24"/>
        </w:rPr>
        <w:t xml:space="preserve"> HOTMA.</w:t>
      </w:r>
      <w:r>
        <w:rPr>
          <w:rFonts w:cstheme="minorHAnsi"/>
          <w:sz w:val="24"/>
          <w:szCs w:val="24"/>
        </w:rPr>
        <w:t xml:space="preserve"> </w:t>
      </w:r>
      <w:r w:rsidR="00282334" w:rsidRPr="003924B7">
        <w:rPr>
          <w:sz w:val="24"/>
          <w:szCs w:val="24"/>
        </w:rPr>
        <w:t>D</w:t>
      </w:r>
      <w:r w:rsidR="00E91B92" w:rsidRPr="003924B7">
        <w:rPr>
          <w:sz w:val="24"/>
          <w:szCs w:val="24"/>
        </w:rPr>
        <w:t xml:space="preserve">uring the transition period between </w:t>
      </w:r>
      <w:r w:rsidR="00282334" w:rsidRPr="003924B7">
        <w:rPr>
          <w:sz w:val="24"/>
          <w:szCs w:val="24"/>
        </w:rPr>
        <w:t>when the PHA adopts its new HOTMA-compliant polic</w:t>
      </w:r>
      <w:r w:rsidR="00051195" w:rsidRPr="003924B7">
        <w:rPr>
          <w:sz w:val="24"/>
          <w:szCs w:val="24"/>
        </w:rPr>
        <w:t>i</w:t>
      </w:r>
      <w:r w:rsidR="00282334" w:rsidRPr="003924B7">
        <w:rPr>
          <w:sz w:val="24"/>
          <w:szCs w:val="24"/>
        </w:rPr>
        <w:t xml:space="preserve">es </w:t>
      </w:r>
      <w:r w:rsidR="00E91B92" w:rsidRPr="003924B7">
        <w:rPr>
          <w:sz w:val="24"/>
          <w:szCs w:val="24"/>
        </w:rPr>
        <w:t xml:space="preserve">and </w:t>
      </w:r>
      <w:r w:rsidR="008D47A4" w:rsidRPr="003924B7">
        <w:rPr>
          <w:sz w:val="24"/>
          <w:szCs w:val="24"/>
        </w:rPr>
        <w:t>the date the</w:t>
      </w:r>
      <w:r w:rsidR="00E91B92" w:rsidRPr="003924B7">
        <w:rPr>
          <w:sz w:val="24"/>
          <w:szCs w:val="24"/>
        </w:rPr>
        <w:t xml:space="preserve"> PHA fully implements HOTMA, the PHA will have </w:t>
      </w:r>
      <w:r w:rsidR="00A034DC" w:rsidRPr="003924B7">
        <w:rPr>
          <w:sz w:val="24"/>
          <w:szCs w:val="24"/>
        </w:rPr>
        <w:t xml:space="preserve">two policies in place – one that is </w:t>
      </w:r>
      <w:r w:rsidR="00E91B92" w:rsidRPr="003924B7">
        <w:rPr>
          <w:sz w:val="24"/>
          <w:szCs w:val="24"/>
        </w:rPr>
        <w:t xml:space="preserve">updated </w:t>
      </w:r>
      <w:r w:rsidR="00D314CB" w:rsidRPr="003924B7">
        <w:rPr>
          <w:sz w:val="24"/>
          <w:szCs w:val="24"/>
        </w:rPr>
        <w:t xml:space="preserve">for </w:t>
      </w:r>
      <w:r w:rsidR="00E91B92" w:rsidRPr="003924B7">
        <w:rPr>
          <w:sz w:val="24"/>
          <w:szCs w:val="24"/>
        </w:rPr>
        <w:t>HOTMA</w:t>
      </w:r>
      <w:r w:rsidR="00A034DC" w:rsidRPr="003924B7">
        <w:rPr>
          <w:sz w:val="24"/>
          <w:szCs w:val="24"/>
        </w:rPr>
        <w:t xml:space="preserve"> and their pre-HOTMA policy</w:t>
      </w:r>
      <w:r w:rsidR="00FD1A98" w:rsidRPr="003924B7">
        <w:rPr>
          <w:sz w:val="24"/>
          <w:szCs w:val="24"/>
        </w:rPr>
        <w:t xml:space="preserve"> (which may include those changes identified by HUD in the 2/22/24 FAQs)</w:t>
      </w:r>
      <w:r w:rsidR="00A034DC" w:rsidRPr="003924B7">
        <w:rPr>
          <w:sz w:val="24"/>
          <w:szCs w:val="24"/>
        </w:rPr>
        <w:t xml:space="preserve">. </w:t>
      </w:r>
      <w:r w:rsidR="00A034DC" w:rsidRPr="003924B7">
        <w:rPr>
          <w:sz w:val="24"/>
          <w:szCs w:val="24"/>
          <w:u w:val="single"/>
        </w:rPr>
        <w:t xml:space="preserve">The PHA will adopt but </w:t>
      </w:r>
      <w:r w:rsidR="00E91B92" w:rsidRPr="003924B7">
        <w:rPr>
          <w:sz w:val="24"/>
          <w:szCs w:val="24"/>
          <w:u w:val="single"/>
        </w:rPr>
        <w:t xml:space="preserve">will not follow </w:t>
      </w:r>
      <w:r w:rsidR="00A034DC" w:rsidRPr="003924B7">
        <w:rPr>
          <w:sz w:val="24"/>
          <w:szCs w:val="24"/>
          <w:u w:val="single"/>
        </w:rPr>
        <w:t xml:space="preserve">their HOTMA policy </w:t>
      </w:r>
      <w:r w:rsidR="00A034DC" w:rsidRPr="003924B7">
        <w:rPr>
          <w:sz w:val="24"/>
          <w:szCs w:val="24"/>
          <w:u w:val="single"/>
        </w:rPr>
        <w:lastRenderedPageBreak/>
        <w:t>during this transition period</w:t>
      </w:r>
      <w:r w:rsidR="00E91B92" w:rsidRPr="003924B7">
        <w:rPr>
          <w:sz w:val="24"/>
          <w:szCs w:val="24"/>
          <w:u w:val="single"/>
        </w:rPr>
        <w:t>.</w:t>
      </w:r>
      <w:r w:rsidR="00E91B92" w:rsidRPr="003924B7">
        <w:rPr>
          <w:sz w:val="24"/>
          <w:szCs w:val="24"/>
        </w:rPr>
        <w:t xml:space="preserve"> The PHA will instead continue to follow their current policies until the PHA-selected implementation</w:t>
      </w:r>
      <w:r w:rsidR="000D4FF3" w:rsidRPr="003924B7">
        <w:rPr>
          <w:sz w:val="24"/>
          <w:szCs w:val="24"/>
        </w:rPr>
        <w:t xml:space="preserve"> date for HOTMA</w:t>
      </w:r>
      <w:r w:rsidR="00E91B92" w:rsidRPr="003924B7">
        <w:rPr>
          <w:sz w:val="24"/>
          <w:szCs w:val="24"/>
        </w:rPr>
        <w:t>.</w:t>
      </w:r>
      <w:r w:rsidR="008D47A4" w:rsidRPr="003924B7">
        <w:rPr>
          <w:sz w:val="24"/>
          <w:szCs w:val="24"/>
        </w:rPr>
        <w:t xml:space="preserve"> </w:t>
      </w:r>
      <w:r w:rsidR="00D314CB" w:rsidRPr="003924B7">
        <w:rPr>
          <w:sz w:val="24"/>
          <w:szCs w:val="24"/>
        </w:rPr>
        <w:t xml:space="preserve">Pre-HOTMA </w:t>
      </w:r>
      <w:r w:rsidR="00A034DC" w:rsidRPr="003924B7">
        <w:rPr>
          <w:sz w:val="24"/>
          <w:szCs w:val="24"/>
        </w:rPr>
        <w:t xml:space="preserve">policies will remain fully effective during the transition period. </w:t>
      </w:r>
    </w:p>
    <w:p w14:paraId="6D3278B2" w14:textId="2F38F521" w:rsidR="00DF231C" w:rsidRPr="00DF231C" w:rsidRDefault="00DF231C" w:rsidP="00F05016">
      <w:pPr>
        <w:pStyle w:val="Heading2"/>
      </w:pPr>
      <w:r w:rsidRPr="00DF231C">
        <w:t xml:space="preserve">HOTMA VOUCHER FINAL RULE CHANGES </w:t>
      </w:r>
    </w:p>
    <w:p w14:paraId="4FB782A9" w14:textId="115ABCCE" w:rsidR="00AF346E" w:rsidRDefault="00DF231C" w:rsidP="00F05016">
      <w:pPr>
        <w:pStyle w:val="ListParagraph"/>
        <w:numPr>
          <w:ilvl w:val="0"/>
          <w:numId w:val="1"/>
        </w:numPr>
        <w:spacing w:after="240"/>
        <w:rPr>
          <w:rFonts w:cstheme="minorHAnsi"/>
          <w:sz w:val="24"/>
          <w:szCs w:val="24"/>
        </w:rPr>
      </w:pPr>
      <w:r w:rsidRPr="00F05016">
        <w:rPr>
          <w:rFonts w:cstheme="minorHAnsi"/>
          <w:sz w:val="24"/>
          <w:szCs w:val="24"/>
        </w:rPr>
        <w:t xml:space="preserve">The Final Rule implementing streamlining changes to the HCV and PBV programs was published on May 7, 2024, and codified certain provisions in Sections 101, 105, 106, and 112 of HOTMA, as well as incorporating </w:t>
      </w:r>
      <w:r w:rsidR="004230F0">
        <w:rPr>
          <w:rFonts w:cstheme="minorHAnsi"/>
          <w:sz w:val="24"/>
          <w:szCs w:val="24"/>
        </w:rPr>
        <w:t xml:space="preserve">some </w:t>
      </w:r>
      <w:r w:rsidRPr="00F05016">
        <w:rPr>
          <w:rFonts w:cstheme="minorHAnsi"/>
          <w:sz w:val="24"/>
          <w:szCs w:val="24"/>
        </w:rPr>
        <w:t xml:space="preserve">changes from the NSPIRE final rule. The rule is known as the “HOTMA voucher final rule.” The effective date of the HOTMA voucher final rule was June 6, 2024. </w:t>
      </w:r>
    </w:p>
    <w:p w14:paraId="3609D3EE" w14:textId="4AAB7C32" w:rsidR="00AF346E" w:rsidRDefault="00DF231C" w:rsidP="00F05016">
      <w:pPr>
        <w:pStyle w:val="ListParagraph"/>
        <w:numPr>
          <w:ilvl w:val="0"/>
          <w:numId w:val="1"/>
        </w:numPr>
        <w:spacing w:after="240"/>
        <w:rPr>
          <w:rFonts w:cstheme="minorHAnsi"/>
          <w:sz w:val="24"/>
          <w:szCs w:val="24"/>
        </w:rPr>
      </w:pPr>
      <w:r w:rsidRPr="00F05016">
        <w:rPr>
          <w:rFonts w:cstheme="minorHAnsi"/>
          <w:sz w:val="24"/>
          <w:szCs w:val="24"/>
        </w:rPr>
        <w:t xml:space="preserve">While the compliance date for certain provisions of the rule is the same as the effective date, the compliance date for other provisions is not until 90 days, 180 days, or one year after the effective date. </w:t>
      </w:r>
    </w:p>
    <w:p w14:paraId="10235EE1" w14:textId="6B9524E1" w:rsidR="00884294" w:rsidRDefault="00AF346E" w:rsidP="00F05016">
      <w:pPr>
        <w:pStyle w:val="ListParagraph"/>
        <w:numPr>
          <w:ilvl w:val="0"/>
          <w:numId w:val="1"/>
        </w:numPr>
        <w:spacing w:after="240"/>
        <w:rPr>
          <w:rFonts w:cstheme="minorHAnsi"/>
          <w:sz w:val="24"/>
          <w:szCs w:val="24"/>
        </w:rPr>
      </w:pPr>
      <w:r>
        <w:rPr>
          <w:rFonts w:cstheme="minorHAnsi"/>
          <w:sz w:val="24"/>
          <w:szCs w:val="24"/>
        </w:rPr>
        <w:t>F</w:t>
      </w:r>
      <w:r w:rsidR="00DF231C" w:rsidRPr="00F05016">
        <w:rPr>
          <w:rFonts w:cstheme="minorHAnsi"/>
          <w:sz w:val="24"/>
          <w:szCs w:val="24"/>
        </w:rPr>
        <w:t>urther, many new changes to the regulations described in the HOTMA voucher final rule require changes to the PHA’s administrative plan. PHAs must make all revisions needed to bring existing policies into compliance with the final rule no later than June 6, 2025 (one year after the effective date</w:t>
      </w:r>
      <w:r w:rsidR="00702FBE">
        <w:rPr>
          <w:rFonts w:cstheme="minorHAnsi"/>
          <w:sz w:val="24"/>
          <w:szCs w:val="24"/>
        </w:rPr>
        <w:t xml:space="preserve"> of the rule</w:t>
      </w:r>
      <w:r w:rsidR="00DF231C" w:rsidRPr="00F05016">
        <w:rPr>
          <w:rFonts w:cstheme="minorHAnsi"/>
          <w:sz w:val="24"/>
          <w:szCs w:val="24"/>
        </w:rPr>
        <w:t xml:space="preserve">). </w:t>
      </w:r>
    </w:p>
    <w:p w14:paraId="4801C808" w14:textId="77777777" w:rsidR="00884294" w:rsidRDefault="00DF231C" w:rsidP="00F05016">
      <w:pPr>
        <w:pStyle w:val="ListParagraph"/>
        <w:numPr>
          <w:ilvl w:val="0"/>
          <w:numId w:val="1"/>
        </w:numPr>
        <w:spacing w:after="240"/>
        <w:rPr>
          <w:rFonts w:cstheme="minorHAnsi"/>
          <w:sz w:val="24"/>
          <w:szCs w:val="24"/>
        </w:rPr>
      </w:pPr>
      <w:r w:rsidRPr="00F05016">
        <w:rPr>
          <w:rFonts w:cstheme="minorHAnsi"/>
          <w:sz w:val="24"/>
          <w:szCs w:val="24"/>
        </w:rPr>
        <w:t>However, if a</w:t>
      </w:r>
      <w:r w:rsidR="00AF346E">
        <w:rPr>
          <w:rFonts w:cstheme="minorHAnsi"/>
          <w:sz w:val="24"/>
          <w:szCs w:val="24"/>
        </w:rPr>
        <w:t xml:space="preserve"> </w:t>
      </w:r>
      <w:r w:rsidRPr="00F05016">
        <w:rPr>
          <w:rFonts w:cstheme="minorHAnsi"/>
          <w:sz w:val="24"/>
          <w:szCs w:val="24"/>
        </w:rPr>
        <w:t xml:space="preserve">PHA wishes to use program flexibilities requiring adoption of new local policies not already present in the PHA’s administrative plan, the PHA must add those policies to the administrative plan prior to using those program flexibilities. </w:t>
      </w:r>
    </w:p>
    <w:p w14:paraId="59C6199A" w14:textId="3A3DA93A" w:rsidR="00DC49E4" w:rsidRDefault="00DF231C" w:rsidP="009B7ED8">
      <w:pPr>
        <w:pStyle w:val="ListParagraph"/>
        <w:numPr>
          <w:ilvl w:val="0"/>
          <w:numId w:val="1"/>
        </w:numPr>
        <w:spacing w:after="240"/>
        <w:rPr>
          <w:rFonts w:cstheme="minorHAnsi"/>
          <w:sz w:val="24"/>
          <w:szCs w:val="24"/>
        </w:rPr>
      </w:pPr>
      <w:r w:rsidRPr="00F05016">
        <w:rPr>
          <w:rFonts w:cstheme="minorHAnsi"/>
          <w:sz w:val="24"/>
          <w:szCs w:val="24"/>
        </w:rPr>
        <w:t xml:space="preserve">Further, the delayed compliance date for policies of June 6, 2025, does not authorize delayed compliance with the provisions of the rule. PHAs that choose not to bring their policies into compliance with the rule until June 6, 2025, must still implement each provision on its compliance date. </w:t>
      </w:r>
    </w:p>
    <w:p w14:paraId="690EE794" w14:textId="7AE7C2C9" w:rsidR="00207CCE" w:rsidRDefault="00207CCE" w:rsidP="00207CCE">
      <w:pPr>
        <w:spacing w:after="240"/>
        <w:jc w:val="center"/>
        <w:rPr>
          <w:rFonts w:cstheme="minorHAnsi"/>
          <w:sz w:val="24"/>
          <w:szCs w:val="24"/>
        </w:rPr>
      </w:pPr>
      <w:r w:rsidRPr="00AB59FB">
        <w:rPr>
          <w:noProof/>
          <w:highlight w:val="yellow"/>
        </w:rPr>
        <w:drawing>
          <wp:inline distT="0" distB="0" distL="0" distR="0" wp14:anchorId="2828A2AA" wp14:editId="39F52129">
            <wp:extent cx="4351029" cy="2446524"/>
            <wp:effectExtent l="0" t="0" r="0" b="0"/>
            <wp:docPr id="1461121057" name="Picture 1" descr="A white and black lis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121057" name="Picture 1" descr="A white and black list with black text&#10;&#10;Description automatically generated"/>
                    <pic:cNvPicPr/>
                  </pic:nvPicPr>
                  <pic:blipFill>
                    <a:blip r:embed="rId7"/>
                    <a:stretch>
                      <a:fillRect/>
                    </a:stretch>
                  </pic:blipFill>
                  <pic:spPr>
                    <a:xfrm>
                      <a:off x="0" y="0"/>
                      <a:ext cx="4373922" cy="2459397"/>
                    </a:xfrm>
                    <a:prstGeom prst="rect">
                      <a:avLst/>
                    </a:prstGeom>
                  </pic:spPr>
                </pic:pic>
              </a:graphicData>
            </a:graphic>
          </wp:inline>
        </w:drawing>
      </w:r>
    </w:p>
    <w:p w14:paraId="05ADE2F0" w14:textId="77777777" w:rsidR="00207CCE" w:rsidRPr="00207CCE" w:rsidRDefault="00207CCE" w:rsidP="00207CCE">
      <w:pPr>
        <w:spacing w:after="240"/>
        <w:rPr>
          <w:rFonts w:cstheme="minorHAnsi"/>
          <w:sz w:val="24"/>
          <w:szCs w:val="24"/>
        </w:rPr>
      </w:pPr>
    </w:p>
    <w:p w14:paraId="612C04C2" w14:textId="1C8249E0" w:rsidR="00DC49E4" w:rsidRPr="00DC49E4" w:rsidRDefault="00DC49E4" w:rsidP="00DC49E4">
      <w:pPr>
        <w:pStyle w:val="Heading2"/>
      </w:pPr>
      <w:r w:rsidRPr="00DC49E4">
        <w:lastRenderedPageBreak/>
        <w:t xml:space="preserve">NSPIRE AND HQS </w:t>
      </w:r>
      <w:r>
        <w:t>(HCV Program Only)</w:t>
      </w:r>
    </w:p>
    <w:p w14:paraId="2BC7222D" w14:textId="77777777" w:rsidR="00DC49E4" w:rsidRDefault="00DC49E4" w:rsidP="00DC49E4">
      <w:pPr>
        <w:pStyle w:val="ListParagraph"/>
        <w:numPr>
          <w:ilvl w:val="0"/>
          <w:numId w:val="1"/>
        </w:numPr>
        <w:spacing w:after="240"/>
        <w:rPr>
          <w:rFonts w:cstheme="minorHAnsi"/>
          <w:sz w:val="24"/>
          <w:szCs w:val="24"/>
        </w:rPr>
      </w:pPr>
      <w:r w:rsidRPr="00DC49E4">
        <w:rPr>
          <w:rFonts w:cstheme="minorHAnsi"/>
          <w:sz w:val="24"/>
          <w:szCs w:val="24"/>
        </w:rPr>
        <w:t xml:space="preserve">The PHA must determine that the rental unit selected by the family is in safe and habitable condition at certain times prescribed by the regulations. The current applicable inspection standard for the HCV and PBV programs is Housing Quality Standards (HQS). </w:t>
      </w:r>
    </w:p>
    <w:p w14:paraId="70BF7358" w14:textId="34B2006D" w:rsidR="00DC49E4" w:rsidRPr="00DC49E4" w:rsidRDefault="00DC49E4" w:rsidP="00DC49E4">
      <w:pPr>
        <w:pStyle w:val="ListParagraph"/>
        <w:numPr>
          <w:ilvl w:val="0"/>
          <w:numId w:val="1"/>
        </w:numPr>
        <w:spacing w:after="240"/>
        <w:rPr>
          <w:rFonts w:cstheme="minorHAnsi"/>
          <w:sz w:val="24"/>
          <w:szCs w:val="24"/>
        </w:rPr>
      </w:pPr>
      <w:r w:rsidRPr="00DC49E4">
        <w:rPr>
          <w:rFonts w:cstheme="minorHAnsi"/>
          <w:sz w:val="24"/>
          <w:szCs w:val="24"/>
        </w:rPr>
        <w:t xml:space="preserve">On May 11, 2023, HUD published a final rule implementing the National Standards for the Physical Inspection of Real Estate (NSPIRE final rule), a new approach to defining and assessing housing quality across multiple HUD programs. 24 CFR 5.703 describes the NSPIRE standards, including variations for the HCV and PBV programs. Notice PIH 2023-28 finalized the administrative procedures for NSPIRE as they pertain specifically to the HCV and PBV programs. Collectively, this is known as “NSPIRE-V.” </w:t>
      </w:r>
    </w:p>
    <w:p w14:paraId="7BB8F43F" w14:textId="12E823C3" w:rsidR="00DC49E4" w:rsidRPr="00DC49E4" w:rsidRDefault="00F12879" w:rsidP="00DC49E4">
      <w:pPr>
        <w:pStyle w:val="ListParagraph"/>
        <w:numPr>
          <w:ilvl w:val="0"/>
          <w:numId w:val="1"/>
        </w:numPr>
        <w:spacing w:after="240"/>
        <w:rPr>
          <w:rFonts w:cstheme="minorHAnsi"/>
          <w:sz w:val="24"/>
          <w:szCs w:val="24"/>
        </w:rPr>
      </w:pPr>
      <w:r>
        <w:rPr>
          <w:rFonts w:cstheme="minorHAnsi"/>
          <w:sz w:val="24"/>
          <w:szCs w:val="24"/>
        </w:rPr>
        <w:t xml:space="preserve">One June 14, 2024, </w:t>
      </w:r>
      <w:r w:rsidR="0015527D">
        <w:rPr>
          <w:rFonts w:cstheme="minorHAnsi"/>
          <w:sz w:val="24"/>
          <w:szCs w:val="24"/>
        </w:rPr>
        <w:t>HUD moved t</w:t>
      </w:r>
      <w:r w:rsidR="00DC49E4" w:rsidRPr="00DC49E4">
        <w:rPr>
          <w:rFonts w:cstheme="minorHAnsi"/>
          <w:sz w:val="24"/>
          <w:szCs w:val="24"/>
        </w:rPr>
        <w:t xml:space="preserve">he compliance date for NSPIRE-V </w:t>
      </w:r>
      <w:r w:rsidR="0015527D">
        <w:rPr>
          <w:rFonts w:cstheme="minorHAnsi"/>
          <w:sz w:val="24"/>
          <w:szCs w:val="24"/>
        </w:rPr>
        <w:t xml:space="preserve">back from October 1, </w:t>
      </w:r>
      <w:proofErr w:type="gramStart"/>
      <w:r w:rsidR="0015527D">
        <w:rPr>
          <w:rFonts w:cstheme="minorHAnsi"/>
          <w:sz w:val="24"/>
          <w:szCs w:val="24"/>
        </w:rPr>
        <w:t>2024</w:t>
      </w:r>
      <w:proofErr w:type="gramEnd"/>
      <w:r w:rsidR="0015527D">
        <w:rPr>
          <w:rFonts w:cstheme="minorHAnsi"/>
          <w:sz w:val="24"/>
          <w:szCs w:val="24"/>
        </w:rPr>
        <w:t xml:space="preserve"> to </w:t>
      </w:r>
      <w:r w:rsidR="00DC49E4" w:rsidRPr="00DC49E4">
        <w:rPr>
          <w:rFonts w:cstheme="minorHAnsi"/>
          <w:sz w:val="24"/>
          <w:szCs w:val="24"/>
        </w:rPr>
        <w:t>no later than October 1, 2025, at which point the HQS inspection standard will sunset. PHAs may, however, implement NSPIRE-V prior to October 1, 2025, provided they follow requirements listed in Notice PIH 2023-28.</w:t>
      </w:r>
    </w:p>
    <w:p w14:paraId="017F09B4" w14:textId="39811534" w:rsidR="00DC49E4" w:rsidRPr="00DC49E4" w:rsidRDefault="00DC49E4" w:rsidP="00DC49E4">
      <w:pPr>
        <w:pStyle w:val="ListParagraph"/>
        <w:numPr>
          <w:ilvl w:val="0"/>
          <w:numId w:val="1"/>
        </w:numPr>
        <w:spacing w:after="240"/>
        <w:rPr>
          <w:rFonts w:cstheme="minorHAnsi"/>
          <w:sz w:val="24"/>
          <w:szCs w:val="24"/>
        </w:rPr>
      </w:pPr>
      <w:r w:rsidRPr="00DC49E4">
        <w:rPr>
          <w:rFonts w:cstheme="minorHAnsi"/>
          <w:sz w:val="24"/>
          <w:szCs w:val="24"/>
        </w:rPr>
        <w:t xml:space="preserve">However, even once the HQS inspection standard has sunset, the regulations at 24 CFR Part 982 and 983 governing the HCV and PBV programs will continue to use the terms </w:t>
      </w:r>
      <w:r w:rsidRPr="005D6AC1">
        <w:rPr>
          <w:rFonts w:cstheme="minorHAnsi"/>
          <w:i/>
          <w:iCs/>
          <w:sz w:val="24"/>
          <w:szCs w:val="24"/>
        </w:rPr>
        <w:t xml:space="preserve">HQS </w:t>
      </w:r>
      <w:r w:rsidRPr="00DC49E4">
        <w:rPr>
          <w:rFonts w:cstheme="minorHAnsi"/>
          <w:sz w:val="24"/>
          <w:szCs w:val="24"/>
        </w:rPr>
        <w:t xml:space="preserve">and </w:t>
      </w:r>
      <w:r w:rsidRPr="005D6AC1">
        <w:rPr>
          <w:rFonts w:cstheme="minorHAnsi"/>
          <w:i/>
          <w:iCs/>
          <w:sz w:val="24"/>
          <w:szCs w:val="24"/>
        </w:rPr>
        <w:t>housing quality standards</w:t>
      </w:r>
      <w:r w:rsidRPr="00DC49E4">
        <w:rPr>
          <w:rFonts w:cstheme="minorHAnsi"/>
          <w:sz w:val="24"/>
          <w:szCs w:val="24"/>
        </w:rPr>
        <w:t xml:space="preserve"> rather than </w:t>
      </w:r>
      <w:r w:rsidRPr="005D6AC1">
        <w:rPr>
          <w:rFonts w:cstheme="minorHAnsi"/>
          <w:i/>
          <w:iCs/>
          <w:sz w:val="24"/>
          <w:szCs w:val="24"/>
        </w:rPr>
        <w:t>NSPIRE</w:t>
      </w:r>
      <w:r w:rsidRPr="00DC49E4">
        <w:rPr>
          <w:rFonts w:cstheme="minorHAnsi"/>
          <w:sz w:val="24"/>
          <w:szCs w:val="24"/>
        </w:rPr>
        <w:t xml:space="preserve">. This is because, the definition of </w:t>
      </w:r>
      <w:r w:rsidRPr="005D6AC1">
        <w:rPr>
          <w:rFonts w:cstheme="minorHAnsi"/>
          <w:i/>
          <w:iCs/>
          <w:sz w:val="24"/>
          <w:szCs w:val="24"/>
        </w:rPr>
        <w:t>housing quality standards (HQS)</w:t>
      </w:r>
      <w:r w:rsidRPr="00DC49E4">
        <w:rPr>
          <w:rFonts w:cstheme="minorHAnsi"/>
          <w:sz w:val="24"/>
          <w:szCs w:val="24"/>
        </w:rPr>
        <w:t xml:space="preserve"> at 24 CFR 982.4 means the minimum quality standards developed by HUD in accordance with 24 CFR 5.703 for the HCV program, including any variations approved by HUD for the PHA. As such, the model policy uses the term housing quality standards whenever applicable regulations use this term. </w:t>
      </w:r>
    </w:p>
    <w:p w14:paraId="4921C8DF" w14:textId="77777777" w:rsidR="00DF231C" w:rsidRPr="00DF231C" w:rsidRDefault="00DF231C" w:rsidP="00DF231C">
      <w:pPr>
        <w:spacing w:after="240"/>
        <w:ind w:left="360"/>
        <w:rPr>
          <w:rFonts w:cstheme="minorHAnsi"/>
          <w:sz w:val="24"/>
          <w:szCs w:val="24"/>
        </w:rPr>
      </w:pPr>
    </w:p>
    <w:sectPr w:rsidR="00DF231C" w:rsidRPr="00DF231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C213B" w14:textId="77777777" w:rsidR="009655E0" w:rsidRDefault="009655E0" w:rsidP="009655E0">
      <w:pPr>
        <w:spacing w:after="0" w:line="240" w:lineRule="auto"/>
      </w:pPr>
      <w:r>
        <w:separator/>
      </w:r>
    </w:p>
  </w:endnote>
  <w:endnote w:type="continuationSeparator" w:id="0">
    <w:p w14:paraId="08FA0B4E" w14:textId="77777777" w:rsidR="009655E0" w:rsidRDefault="009655E0" w:rsidP="00965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7474821"/>
      <w:docPartObj>
        <w:docPartGallery w:val="Page Numbers (Bottom of Page)"/>
        <w:docPartUnique/>
      </w:docPartObj>
    </w:sdtPr>
    <w:sdtEndPr>
      <w:rPr>
        <w:noProof/>
      </w:rPr>
    </w:sdtEndPr>
    <w:sdtContent>
      <w:p w14:paraId="3E38DE25" w14:textId="4C8506B4" w:rsidR="009655E0" w:rsidRDefault="009655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F45FC8" w14:textId="77777777" w:rsidR="009655E0" w:rsidRDefault="009655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1E964" w14:textId="77777777" w:rsidR="009655E0" w:rsidRDefault="009655E0" w:rsidP="009655E0">
      <w:pPr>
        <w:spacing w:after="0" w:line="240" w:lineRule="auto"/>
      </w:pPr>
      <w:r>
        <w:separator/>
      </w:r>
    </w:p>
  </w:footnote>
  <w:footnote w:type="continuationSeparator" w:id="0">
    <w:p w14:paraId="6376E316" w14:textId="77777777" w:rsidR="009655E0" w:rsidRDefault="009655E0" w:rsidP="009655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B6567"/>
    <w:multiLevelType w:val="hybridMultilevel"/>
    <w:tmpl w:val="FBA8F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0198E"/>
    <w:multiLevelType w:val="hybridMultilevel"/>
    <w:tmpl w:val="1FD8E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FA79E0"/>
    <w:multiLevelType w:val="hybridMultilevel"/>
    <w:tmpl w:val="56BAAD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7C90563"/>
    <w:multiLevelType w:val="hybridMultilevel"/>
    <w:tmpl w:val="C80CE7B6"/>
    <w:lvl w:ilvl="0" w:tplc="EB246AB6">
      <w:start w:val="1"/>
      <w:numFmt w:val="bullet"/>
      <w:lvlText w:val=""/>
      <w:lvlJc w:val="left"/>
      <w:pPr>
        <w:tabs>
          <w:tab w:val="num" w:pos="720"/>
        </w:tabs>
        <w:ind w:left="720" w:hanging="360"/>
      </w:pPr>
      <w:rPr>
        <w:rFonts w:ascii="Wingdings" w:hAnsi="Wingdings" w:hint="default"/>
      </w:rPr>
    </w:lvl>
    <w:lvl w:ilvl="1" w:tplc="31FCEA18">
      <w:numFmt w:val="bullet"/>
      <w:lvlText w:val=""/>
      <w:lvlJc w:val="left"/>
      <w:pPr>
        <w:tabs>
          <w:tab w:val="num" w:pos="1440"/>
        </w:tabs>
        <w:ind w:left="1440" w:hanging="360"/>
      </w:pPr>
      <w:rPr>
        <w:rFonts w:ascii="Wingdings" w:hAnsi="Wingdings" w:hint="default"/>
      </w:rPr>
    </w:lvl>
    <w:lvl w:ilvl="2" w:tplc="26C80D20" w:tentative="1">
      <w:start w:val="1"/>
      <w:numFmt w:val="bullet"/>
      <w:lvlText w:val=""/>
      <w:lvlJc w:val="left"/>
      <w:pPr>
        <w:tabs>
          <w:tab w:val="num" w:pos="2160"/>
        </w:tabs>
        <w:ind w:left="2160" w:hanging="360"/>
      </w:pPr>
      <w:rPr>
        <w:rFonts w:ascii="Wingdings" w:hAnsi="Wingdings" w:hint="default"/>
      </w:rPr>
    </w:lvl>
    <w:lvl w:ilvl="3" w:tplc="EA2AFCFC" w:tentative="1">
      <w:start w:val="1"/>
      <w:numFmt w:val="bullet"/>
      <w:lvlText w:val=""/>
      <w:lvlJc w:val="left"/>
      <w:pPr>
        <w:tabs>
          <w:tab w:val="num" w:pos="2880"/>
        </w:tabs>
        <w:ind w:left="2880" w:hanging="360"/>
      </w:pPr>
      <w:rPr>
        <w:rFonts w:ascii="Wingdings" w:hAnsi="Wingdings" w:hint="default"/>
      </w:rPr>
    </w:lvl>
    <w:lvl w:ilvl="4" w:tplc="E62AA0E0" w:tentative="1">
      <w:start w:val="1"/>
      <w:numFmt w:val="bullet"/>
      <w:lvlText w:val=""/>
      <w:lvlJc w:val="left"/>
      <w:pPr>
        <w:tabs>
          <w:tab w:val="num" w:pos="3600"/>
        </w:tabs>
        <w:ind w:left="3600" w:hanging="360"/>
      </w:pPr>
      <w:rPr>
        <w:rFonts w:ascii="Wingdings" w:hAnsi="Wingdings" w:hint="default"/>
      </w:rPr>
    </w:lvl>
    <w:lvl w:ilvl="5" w:tplc="18D88ED6" w:tentative="1">
      <w:start w:val="1"/>
      <w:numFmt w:val="bullet"/>
      <w:lvlText w:val=""/>
      <w:lvlJc w:val="left"/>
      <w:pPr>
        <w:tabs>
          <w:tab w:val="num" w:pos="4320"/>
        </w:tabs>
        <w:ind w:left="4320" w:hanging="360"/>
      </w:pPr>
      <w:rPr>
        <w:rFonts w:ascii="Wingdings" w:hAnsi="Wingdings" w:hint="default"/>
      </w:rPr>
    </w:lvl>
    <w:lvl w:ilvl="6" w:tplc="1BD04020" w:tentative="1">
      <w:start w:val="1"/>
      <w:numFmt w:val="bullet"/>
      <w:lvlText w:val=""/>
      <w:lvlJc w:val="left"/>
      <w:pPr>
        <w:tabs>
          <w:tab w:val="num" w:pos="5040"/>
        </w:tabs>
        <w:ind w:left="5040" w:hanging="360"/>
      </w:pPr>
      <w:rPr>
        <w:rFonts w:ascii="Wingdings" w:hAnsi="Wingdings" w:hint="default"/>
      </w:rPr>
    </w:lvl>
    <w:lvl w:ilvl="7" w:tplc="752235FE" w:tentative="1">
      <w:start w:val="1"/>
      <w:numFmt w:val="bullet"/>
      <w:lvlText w:val=""/>
      <w:lvlJc w:val="left"/>
      <w:pPr>
        <w:tabs>
          <w:tab w:val="num" w:pos="5760"/>
        </w:tabs>
        <w:ind w:left="5760" w:hanging="360"/>
      </w:pPr>
      <w:rPr>
        <w:rFonts w:ascii="Wingdings" w:hAnsi="Wingdings" w:hint="default"/>
      </w:rPr>
    </w:lvl>
    <w:lvl w:ilvl="8" w:tplc="D49E5F4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6F6343"/>
    <w:multiLevelType w:val="hybridMultilevel"/>
    <w:tmpl w:val="B31E1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A51326"/>
    <w:multiLevelType w:val="hybridMultilevel"/>
    <w:tmpl w:val="BBE4A308"/>
    <w:lvl w:ilvl="0" w:tplc="015A23CE">
      <w:start w:val="1"/>
      <w:numFmt w:val="bullet"/>
      <w:lvlText w:val=""/>
      <w:lvlJc w:val="left"/>
      <w:pPr>
        <w:tabs>
          <w:tab w:val="num" w:pos="720"/>
        </w:tabs>
        <w:ind w:left="720" w:hanging="360"/>
      </w:pPr>
      <w:rPr>
        <w:rFonts w:ascii="Wingdings" w:hAnsi="Wingdings" w:hint="default"/>
      </w:rPr>
    </w:lvl>
    <w:lvl w:ilvl="1" w:tplc="2318A2D4" w:tentative="1">
      <w:start w:val="1"/>
      <w:numFmt w:val="bullet"/>
      <w:lvlText w:val=""/>
      <w:lvlJc w:val="left"/>
      <w:pPr>
        <w:tabs>
          <w:tab w:val="num" w:pos="1440"/>
        </w:tabs>
        <w:ind w:left="1440" w:hanging="360"/>
      </w:pPr>
      <w:rPr>
        <w:rFonts w:ascii="Wingdings" w:hAnsi="Wingdings" w:hint="default"/>
      </w:rPr>
    </w:lvl>
    <w:lvl w:ilvl="2" w:tplc="428C5874" w:tentative="1">
      <w:start w:val="1"/>
      <w:numFmt w:val="bullet"/>
      <w:lvlText w:val=""/>
      <w:lvlJc w:val="left"/>
      <w:pPr>
        <w:tabs>
          <w:tab w:val="num" w:pos="2160"/>
        </w:tabs>
        <w:ind w:left="2160" w:hanging="360"/>
      </w:pPr>
      <w:rPr>
        <w:rFonts w:ascii="Wingdings" w:hAnsi="Wingdings" w:hint="default"/>
      </w:rPr>
    </w:lvl>
    <w:lvl w:ilvl="3" w:tplc="DDC0A68C" w:tentative="1">
      <w:start w:val="1"/>
      <w:numFmt w:val="bullet"/>
      <w:lvlText w:val=""/>
      <w:lvlJc w:val="left"/>
      <w:pPr>
        <w:tabs>
          <w:tab w:val="num" w:pos="2880"/>
        </w:tabs>
        <w:ind w:left="2880" w:hanging="360"/>
      </w:pPr>
      <w:rPr>
        <w:rFonts w:ascii="Wingdings" w:hAnsi="Wingdings" w:hint="default"/>
      </w:rPr>
    </w:lvl>
    <w:lvl w:ilvl="4" w:tplc="BD865468" w:tentative="1">
      <w:start w:val="1"/>
      <w:numFmt w:val="bullet"/>
      <w:lvlText w:val=""/>
      <w:lvlJc w:val="left"/>
      <w:pPr>
        <w:tabs>
          <w:tab w:val="num" w:pos="3600"/>
        </w:tabs>
        <w:ind w:left="3600" w:hanging="360"/>
      </w:pPr>
      <w:rPr>
        <w:rFonts w:ascii="Wingdings" w:hAnsi="Wingdings" w:hint="default"/>
      </w:rPr>
    </w:lvl>
    <w:lvl w:ilvl="5" w:tplc="A9887818" w:tentative="1">
      <w:start w:val="1"/>
      <w:numFmt w:val="bullet"/>
      <w:lvlText w:val=""/>
      <w:lvlJc w:val="left"/>
      <w:pPr>
        <w:tabs>
          <w:tab w:val="num" w:pos="4320"/>
        </w:tabs>
        <w:ind w:left="4320" w:hanging="360"/>
      </w:pPr>
      <w:rPr>
        <w:rFonts w:ascii="Wingdings" w:hAnsi="Wingdings" w:hint="default"/>
      </w:rPr>
    </w:lvl>
    <w:lvl w:ilvl="6" w:tplc="C980EFB2" w:tentative="1">
      <w:start w:val="1"/>
      <w:numFmt w:val="bullet"/>
      <w:lvlText w:val=""/>
      <w:lvlJc w:val="left"/>
      <w:pPr>
        <w:tabs>
          <w:tab w:val="num" w:pos="5040"/>
        </w:tabs>
        <w:ind w:left="5040" w:hanging="360"/>
      </w:pPr>
      <w:rPr>
        <w:rFonts w:ascii="Wingdings" w:hAnsi="Wingdings" w:hint="default"/>
      </w:rPr>
    </w:lvl>
    <w:lvl w:ilvl="7" w:tplc="2CA2A576" w:tentative="1">
      <w:start w:val="1"/>
      <w:numFmt w:val="bullet"/>
      <w:lvlText w:val=""/>
      <w:lvlJc w:val="left"/>
      <w:pPr>
        <w:tabs>
          <w:tab w:val="num" w:pos="5760"/>
        </w:tabs>
        <w:ind w:left="5760" w:hanging="360"/>
      </w:pPr>
      <w:rPr>
        <w:rFonts w:ascii="Wingdings" w:hAnsi="Wingdings" w:hint="default"/>
      </w:rPr>
    </w:lvl>
    <w:lvl w:ilvl="8" w:tplc="3D02D5F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6E6B0C"/>
    <w:multiLevelType w:val="hybridMultilevel"/>
    <w:tmpl w:val="E9E0E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C44B7A"/>
    <w:multiLevelType w:val="hybridMultilevel"/>
    <w:tmpl w:val="77D0EDA4"/>
    <w:lvl w:ilvl="0" w:tplc="2C506042">
      <w:start w:val="1"/>
      <w:numFmt w:val="bullet"/>
      <w:lvlText w:val=""/>
      <w:lvlJc w:val="left"/>
      <w:pPr>
        <w:tabs>
          <w:tab w:val="num" w:pos="720"/>
        </w:tabs>
        <w:ind w:left="720" w:hanging="360"/>
      </w:pPr>
      <w:rPr>
        <w:rFonts w:ascii="Wingdings" w:hAnsi="Wingdings" w:hint="default"/>
      </w:rPr>
    </w:lvl>
    <w:lvl w:ilvl="1" w:tplc="33D6EE36" w:tentative="1">
      <w:start w:val="1"/>
      <w:numFmt w:val="bullet"/>
      <w:lvlText w:val=""/>
      <w:lvlJc w:val="left"/>
      <w:pPr>
        <w:tabs>
          <w:tab w:val="num" w:pos="1440"/>
        </w:tabs>
        <w:ind w:left="1440" w:hanging="360"/>
      </w:pPr>
      <w:rPr>
        <w:rFonts w:ascii="Wingdings" w:hAnsi="Wingdings" w:hint="default"/>
      </w:rPr>
    </w:lvl>
    <w:lvl w:ilvl="2" w:tplc="36B2D960" w:tentative="1">
      <w:start w:val="1"/>
      <w:numFmt w:val="bullet"/>
      <w:lvlText w:val=""/>
      <w:lvlJc w:val="left"/>
      <w:pPr>
        <w:tabs>
          <w:tab w:val="num" w:pos="2160"/>
        </w:tabs>
        <w:ind w:left="2160" w:hanging="360"/>
      </w:pPr>
      <w:rPr>
        <w:rFonts w:ascii="Wingdings" w:hAnsi="Wingdings" w:hint="default"/>
      </w:rPr>
    </w:lvl>
    <w:lvl w:ilvl="3" w:tplc="F5E886B4" w:tentative="1">
      <w:start w:val="1"/>
      <w:numFmt w:val="bullet"/>
      <w:lvlText w:val=""/>
      <w:lvlJc w:val="left"/>
      <w:pPr>
        <w:tabs>
          <w:tab w:val="num" w:pos="2880"/>
        </w:tabs>
        <w:ind w:left="2880" w:hanging="360"/>
      </w:pPr>
      <w:rPr>
        <w:rFonts w:ascii="Wingdings" w:hAnsi="Wingdings" w:hint="default"/>
      </w:rPr>
    </w:lvl>
    <w:lvl w:ilvl="4" w:tplc="2B1E62C2" w:tentative="1">
      <w:start w:val="1"/>
      <w:numFmt w:val="bullet"/>
      <w:lvlText w:val=""/>
      <w:lvlJc w:val="left"/>
      <w:pPr>
        <w:tabs>
          <w:tab w:val="num" w:pos="3600"/>
        </w:tabs>
        <w:ind w:left="3600" w:hanging="360"/>
      </w:pPr>
      <w:rPr>
        <w:rFonts w:ascii="Wingdings" w:hAnsi="Wingdings" w:hint="default"/>
      </w:rPr>
    </w:lvl>
    <w:lvl w:ilvl="5" w:tplc="45A42F64" w:tentative="1">
      <w:start w:val="1"/>
      <w:numFmt w:val="bullet"/>
      <w:lvlText w:val=""/>
      <w:lvlJc w:val="left"/>
      <w:pPr>
        <w:tabs>
          <w:tab w:val="num" w:pos="4320"/>
        </w:tabs>
        <w:ind w:left="4320" w:hanging="360"/>
      </w:pPr>
      <w:rPr>
        <w:rFonts w:ascii="Wingdings" w:hAnsi="Wingdings" w:hint="default"/>
      </w:rPr>
    </w:lvl>
    <w:lvl w:ilvl="6" w:tplc="5F409870" w:tentative="1">
      <w:start w:val="1"/>
      <w:numFmt w:val="bullet"/>
      <w:lvlText w:val=""/>
      <w:lvlJc w:val="left"/>
      <w:pPr>
        <w:tabs>
          <w:tab w:val="num" w:pos="5040"/>
        </w:tabs>
        <w:ind w:left="5040" w:hanging="360"/>
      </w:pPr>
      <w:rPr>
        <w:rFonts w:ascii="Wingdings" w:hAnsi="Wingdings" w:hint="default"/>
      </w:rPr>
    </w:lvl>
    <w:lvl w:ilvl="7" w:tplc="AFBE7C48" w:tentative="1">
      <w:start w:val="1"/>
      <w:numFmt w:val="bullet"/>
      <w:lvlText w:val=""/>
      <w:lvlJc w:val="left"/>
      <w:pPr>
        <w:tabs>
          <w:tab w:val="num" w:pos="5760"/>
        </w:tabs>
        <w:ind w:left="5760" w:hanging="360"/>
      </w:pPr>
      <w:rPr>
        <w:rFonts w:ascii="Wingdings" w:hAnsi="Wingdings" w:hint="default"/>
      </w:rPr>
    </w:lvl>
    <w:lvl w:ilvl="8" w:tplc="67F0C79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B71382"/>
    <w:multiLevelType w:val="hybridMultilevel"/>
    <w:tmpl w:val="3EC8D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180805">
    <w:abstractNumId w:val="0"/>
  </w:num>
  <w:num w:numId="2" w16cid:durableId="1756709228">
    <w:abstractNumId w:val="5"/>
  </w:num>
  <w:num w:numId="3" w16cid:durableId="378481762">
    <w:abstractNumId w:val="7"/>
  </w:num>
  <w:num w:numId="4" w16cid:durableId="1656449585">
    <w:abstractNumId w:val="3"/>
  </w:num>
  <w:num w:numId="5" w16cid:durableId="1582372176">
    <w:abstractNumId w:val="6"/>
  </w:num>
  <w:num w:numId="6" w16cid:durableId="475996309">
    <w:abstractNumId w:val="4"/>
  </w:num>
  <w:num w:numId="7" w16cid:durableId="1469083177">
    <w:abstractNumId w:val="8"/>
  </w:num>
  <w:num w:numId="8" w16cid:durableId="680857565">
    <w:abstractNumId w:val="2"/>
  </w:num>
  <w:num w:numId="9" w16cid:durableId="2007591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B92"/>
    <w:rsid w:val="00051195"/>
    <w:rsid w:val="00072D1A"/>
    <w:rsid w:val="000D4FF3"/>
    <w:rsid w:val="000E5CFA"/>
    <w:rsid w:val="0015527D"/>
    <w:rsid w:val="00207CCE"/>
    <w:rsid w:val="00282334"/>
    <w:rsid w:val="002A1D44"/>
    <w:rsid w:val="00323EF8"/>
    <w:rsid w:val="003924B7"/>
    <w:rsid w:val="003958F4"/>
    <w:rsid w:val="004230F0"/>
    <w:rsid w:val="004C1259"/>
    <w:rsid w:val="004F278B"/>
    <w:rsid w:val="00567035"/>
    <w:rsid w:val="005B5928"/>
    <w:rsid w:val="005D6AC1"/>
    <w:rsid w:val="006655BF"/>
    <w:rsid w:val="006B272B"/>
    <w:rsid w:val="00702FBE"/>
    <w:rsid w:val="00774D90"/>
    <w:rsid w:val="007A73CE"/>
    <w:rsid w:val="00884294"/>
    <w:rsid w:val="008D47A4"/>
    <w:rsid w:val="009655E0"/>
    <w:rsid w:val="009807AA"/>
    <w:rsid w:val="009B7ED8"/>
    <w:rsid w:val="00A034DC"/>
    <w:rsid w:val="00A2131C"/>
    <w:rsid w:val="00AF2B01"/>
    <w:rsid w:val="00AF346E"/>
    <w:rsid w:val="00B64EEC"/>
    <w:rsid w:val="00C20F26"/>
    <w:rsid w:val="00C77B6D"/>
    <w:rsid w:val="00CD13D0"/>
    <w:rsid w:val="00D314CB"/>
    <w:rsid w:val="00D56AE1"/>
    <w:rsid w:val="00D56C1C"/>
    <w:rsid w:val="00D57B61"/>
    <w:rsid w:val="00DC49E4"/>
    <w:rsid w:val="00DF231C"/>
    <w:rsid w:val="00E023AF"/>
    <w:rsid w:val="00E4508C"/>
    <w:rsid w:val="00E91B92"/>
    <w:rsid w:val="00ED0CCD"/>
    <w:rsid w:val="00F05016"/>
    <w:rsid w:val="00F12879"/>
    <w:rsid w:val="00FD1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4F826"/>
  <w15:chartTrackingRefBased/>
  <w15:docId w15:val="{5123FD66-4E33-4D81-8D16-A862AD53A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1B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050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B92"/>
    <w:pPr>
      <w:ind w:left="720"/>
      <w:contextualSpacing/>
    </w:pPr>
  </w:style>
  <w:style w:type="character" w:customStyle="1" w:styleId="Heading1Char">
    <w:name w:val="Heading 1 Char"/>
    <w:basedOn w:val="DefaultParagraphFont"/>
    <w:link w:val="Heading1"/>
    <w:uiPriority w:val="9"/>
    <w:rsid w:val="00E91B92"/>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958F4"/>
    <w:rPr>
      <w:color w:val="0000FF"/>
      <w:u w:val="single"/>
    </w:rPr>
  </w:style>
  <w:style w:type="character" w:styleId="Emphasis">
    <w:name w:val="Emphasis"/>
    <w:basedOn w:val="DefaultParagraphFont"/>
    <w:uiPriority w:val="20"/>
    <w:qFormat/>
    <w:rsid w:val="003958F4"/>
    <w:rPr>
      <w:i/>
      <w:iCs/>
    </w:rPr>
  </w:style>
  <w:style w:type="paragraph" w:styleId="Revision">
    <w:name w:val="Revision"/>
    <w:hidden/>
    <w:uiPriority w:val="99"/>
    <w:semiHidden/>
    <w:rsid w:val="005B5928"/>
    <w:pPr>
      <w:spacing w:after="0" w:line="240" w:lineRule="auto"/>
    </w:pPr>
  </w:style>
  <w:style w:type="character" w:customStyle="1" w:styleId="Heading2Char">
    <w:name w:val="Heading 2 Char"/>
    <w:basedOn w:val="DefaultParagraphFont"/>
    <w:link w:val="Heading2"/>
    <w:uiPriority w:val="9"/>
    <w:rsid w:val="00F0501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9655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5E0"/>
  </w:style>
  <w:style w:type="paragraph" w:styleId="Footer">
    <w:name w:val="footer"/>
    <w:basedOn w:val="Normal"/>
    <w:link w:val="FooterChar"/>
    <w:uiPriority w:val="99"/>
    <w:unhideWhenUsed/>
    <w:rsid w:val="009655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305244">
      <w:bodyDiv w:val="1"/>
      <w:marLeft w:val="0"/>
      <w:marRight w:val="0"/>
      <w:marTop w:val="0"/>
      <w:marBottom w:val="0"/>
      <w:divBdr>
        <w:top w:val="none" w:sz="0" w:space="0" w:color="auto"/>
        <w:left w:val="none" w:sz="0" w:space="0" w:color="auto"/>
        <w:bottom w:val="none" w:sz="0" w:space="0" w:color="auto"/>
        <w:right w:val="none" w:sz="0" w:space="0" w:color="auto"/>
      </w:divBdr>
      <w:divsChild>
        <w:div w:id="38013887">
          <w:marLeft w:val="547"/>
          <w:marRight w:val="0"/>
          <w:marTop w:val="173"/>
          <w:marBottom w:val="0"/>
          <w:divBdr>
            <w:top w:val="none" w:sz="0" w:space="0" w:color="auto"/>
            <w:left w:val="none" w:sz="0" w:space="0" w:color="auto"/>
            <w:bottom w:val="none" w:sz="0" w:space="0" w:color="auto"/>
            <w:right w:val="none" w:sz="0" w:space="0" w:color="auto"/>
          </w:divBdr>
        </w:div>
        <w:div w:id="68886521">
          <w:marLeft w:val="547"/>
          <w:marRight w:val="0"/>
          <w:marTop w:val="173"/>
          <w:marBottom w:val="0"/>
          <w:divBdr>
            <w:top w:val="none" w:sz="0" w:space="0" w:color="auto"/>
            <w:left w:val="none" w:sz="0" w:space="0" w:color="auto"/>
            <w:bottom w:val="none" w:sz="0" w:space="0" w:color="auto"/>
            <w:right w:val="none" w:sz="0" w:space="0" w:color="auto"/>
          </w:divBdr>
        </w:div>
        <w:div w:id="1358854129">
          <w:marLeft w:val="547"/>
          <w:marRight w:val="0"/>
          <w:marTop w:val="173"/>
          <w:marBottom w:val="0"/>
          <w:divBdr>
            <w:top w:val="none" w:sz="0" w:space="0" w:color="auto"/>
            <w:left w:val="none" w:sz="0" w:space="0" w:color="auto"/>
            <w:bottom w:val="none" w:sz="0" w:space="0" w:color="auto"/>
            <w:right w:val="none" w:sz="0" w:space="0" w:color="auto"/>
          </w:divBdr>
        </w:div>
        <w:div w:id="887230129">
          <w:marLeft w:val="547"/>
          <w:marRight w:val="0"/>
          <w:marTop w:val="173"/>
          <w:marBottom w:val="0"/>
          <w:divBdr>
            <w:top w:val="none" w:sz="0" w:space="0" w:color="auto"/>
            <w:left w:val="none" w:sz="0" w:space="0" w:color="auto"/>
            <w:bottom w:val="none" w:sz="0" w:space="0" w:color="auto"/>
            <w:right w:val="none" w:sz="0" w:space="0" w:color="auto"/>
          </w:divBdr>
        </w:div>
      </w:divsChild>
    </w:div>
    <w:div w:id="1136416957">
      <w:bodyDiv w:val="1"/>
      <w:marLeft w:val="0"/>
      <w:marRight w:val="0"/>
      <w:marTop w:val="0"/>
      <w:marBottom w:val="0"/>
      <w:divBdr>
        <w:top w:val="none" w:sz="0" w:space="0" w:color="auto"/>
        <w:left w:val="none" w:sz="0" w:space="0" w:color="auto"/>
        <w:bottom w:val="none" w:sz="0" w:space="0" w:color="auto"/>
        <w:right w:val="none" w:sz="0" w:space="0" w:color="auto"/>
      </w:divBdr>
      <w:divsChild>
        <w:div w:id="108936000">
          <w:marLeft w:val="547"/>
          <w:marRight w:val="0"/>
          <w:marTop w:val="173"/>
          <w:marBottom w:val="0"/>
          <w:divBdr>
            <w:top w:val="none" w:sz="0" w:space="0" w:color="auto"/>
            <w:left w:val="none" w:sz="0" w:space="0" w:color="auto"/>
            <w:bottom w:val="none" w:sz="0" w:space="0" w:color="auto"/>
            <w:right w:val="none" w:sz="0" w:space="0" w:color="auto"/>
          </w:divBdr>
        </w:div>
        <w:div w:id="308096618">
          <w:marLeft w:val="1166"/>
          <w:marRight w:val="0"/>
          <w:marTop w:val="154"/>
          <w:marBottom w:val="0"/>
          <w:divBdr>
            <w:top w:val="none" w:sz="0" w:space="0" w:color="auto"/>
            <w:left w:val="none" w:sz="0" w:space="0" w:color="auto"/>
            <w:bottom w:val="none" w:sz="0" w:space="0" w:color="auto"/>
            <w:right w:val="none" w:sz="0" w:space="0" w:color="auto"/>
          </w:divBdr>
        </w:div>
        <w:div w:id="704061323">
          <w:marLeft w:val="1166"/>
          <w:marRight w:val="0"/>
          <w:marTop w:val="154"/>
          <w:marBottom w:val="0"/>
          <w:divBdr>
            <w:top w:val="none" w:sz="0" w:space="0" w:color="auto"/>
            <w:left w:val="none" w:sz="0" w:space="0" w:color="auto"/>
            <w:bottom w:val="none" w:sz="0" w:space="0" w:color="auto"/>
            <w:right w:val="none" w:sz="0" w:space="0" w:color="auto"/>
          </w:divBdr>
        </w:div>
        <w:div w:id="788550858">
          <w:marLeft w:val="1166"/>
          <w:marRight w:val="0"/>
          <w:marTop w:val="154"/>
          <w:marBottom w:val="0"/>
          <w:divBdr>
            <w:top w:val="none" w:sz="0" w:space="0" w:color="auto"/>
            <w:left w:val="none" w:sz="0" w:space="0" w:color="auto"/>
            <w:bottom w:val="none" w:sz="0" w:space="0" w:color="auto"/>
            <w:right w:val="none" w:sz="0" w:space="0" w:color="auto"/>
          </w:divBdr>
        </w:div>
        <w:div w:id="1263496521">
          <w:marLeft w:val="1166"/>
          <w:marRight w:val="0"/>
          <w:marTop w:val="154"/>
          <w:marBottom w:val="0"/>
          <w:divBdr>
            <w:top w:val="none" w:sz="0" w:space="0" w:color="auto"/>
            <w:left w:val="none" w:sz="0" w:space="0" w:color="auto"/>
            <w:bottom w:val="none" w:sz="0" w:space="0" w:color="auto"/>
            <w:right w:val="none" w:sz="0" w:space="0" w:color="auto"/>
          </w:divBdr>
        </w:div>
        <w:div w:id="742070282">
          <w:marLeft w:val="547"/>
          <w:marRight w:val="0"/>
          <w:marTop w:val="173"/>
          <w:marBottom w:val="0"/>
          <w:divBdr>
            <w:top w:val="none" w:sz="0" w:space="0" w:color="auto"/>
            <w:left w:val="none" w:sz="0" w:space="0" w:color="auto"/>
            <w:bottom w:val="none" w:sz="0" w:space="0" w:color="auto"/>
            <w:right w:val="none" w:sz="0" w:space="0" w:color="auto"/>
          </w:divBdr>
        </w:div>
      </w:divsChild>
    </w:div>
    <w:div w:id="1253050336">
      <w:bodyDiv w:val="1"/>
      <w:marLeft w:val="0"/>
      <w:marRight w:val="0"/>
      <w:marTop w:val="0"/>
      <w:marBottom w:val="0"/>
      <w:divBdr>
        <w:top w:val="none" w:sz="0" w:space="0" w:color="auto"/>
        <w:left w:val="none" w:sz="0" w:space="0" w:color="auto"/>
        <w:bottom w:val="none" w:sz="0" w:space="0" w:color="auto"/>
        <w:right w:val="none" w:sz="0" w:space="0" w:color="auto"/>
      </w:divBdr>
      <w:divsChild>
        <w:div w:id="2109227795">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b52cda5-6094-4bd3-bd88-68bacf9f8324}" enabled="0" method="" siteId="{db52cda5-6094-4bd3-bd88-68bacf9f8324}"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919</Words>
  <Characters>5244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Sowards</dc:creator>
  <cp:keywords/>
  <dc:description/>
  <cp:lastModifiedBy>Samantha Sowards</cp:lastModifiedBy>
  <cp:revision>2</cp:revision>
  <dcterms:created xsi:type="dcterms:W3CDTF">2024-07-03T17:54:00Z</dcterms:created>
  <dcterms:modified xsi:type="dcterms:W3CDTF">2024-07-03T17:54:00Z</dcterms:modified>
</cp:coreProperties>
</file>